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说    明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我部门没有政府性基金预算支出、国有资本经营预算支出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一般公共预算“三公”经费支出</w:t>
      </w:r>
      <w:bookmarkStart w:id="0" w:name="_GoBack"/>
      <w:bookmarkEnd w:id="0"/>
      <w:r>
        <w:rPr>
          <w:rFonts w:hint="eastAsia"/>
          <w:sz w:val="32"/>
          <w:szCs w:val="32"/>
        </w:rPr>
        <w:t>，相关表格为空表。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特此说明！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呼和浩特市体育局                                              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1E13"/>
    <w:rsid w:val="A35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2025-01-17T11:51:00Z</dcterms:created>
  <dc:creator>Administrator</dc:creator>
  <cp:lastModifiedBy>uos</cp:lastModifiedBy>
  <dcterms:modified xsi:type="dcterms:W3CDTF">2025-01-20T10:06:08Z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eyJoZGlkIjoiNzQzYTFmMTE4MzNkODRkYWUzYjMzODJjMmZhMGUyNGMifQ==</vt:lpwstr>
  </property>
  <property fmtid="{D5CDD505-2E9C-101B-9397-08002B2CF9AE}" pid="4" name="ICV">
    <vt:lpwstr>C07C58C3AAA64C9C9130E66A82217272_12</vt:lpwstr>
  </property>
</Properties>
</file>